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811"/>
        <w:tblW w:w="10008" w:type="dxa"/>
        <w:tblLook w:val="04A0" w:firstRow="1" w:lastRow="0" w:firstColumn="1" w:lastColumn="0" w:noHBand="0" w:noVBand="1"/>
      </w:tblPr>
      <w:tblGrid>
        <w:gridCol w:w="550"/>
        <w:gridCol w:w="4973"/>
        <w:gridCol w:w="4485"/>
      </w:tblGrid>
      <w:tr w:rsidR="005D43E8" w:rsidTr="00526051">
        <w:trPr>
          <w:trHeight w:val="445"/>
        </w:trPr>
        <w:tc>
          <w:tcPr>
            <w:tcW w:w="558" w:type="dxa"/>
            <w:shd w:val="clear" w:color="auto" w:fill="BFBFBF" w:themeFill="background1" w:themeFillShade="BF"/>
          </w:tcPr>
          <w:p w:rsidR="005D43E8" w:rsidRPr="005D43E8" w:rsidRDefault="005D43E8" w:rsidP="00526051">
            <w:pPr>
              <w:spacing w:after="160"/>
              <w:jc w:val="center"/>
              <w:rPr>
                <w:rFonts w:ascii="Arial" w:eastAsia="Times New Roman" w:hAnsi="Arial" w:cs="Arial"/>
                <w:b/>
                <w:color w:val="000000"/>
                <w:sz w:val="20"/>
                <w:szCs w:val="20"/>
              </w:rPr>
            </w:pPr>
            <w:r w:rsidRPr="005D43E8">
              <w:rPr>
                <w:rFonts w:ascii="Arial" w:eastAsia="Times New Roman" w:hAnsi="Arial" w:cs="Arial"/>
                <w:b/>
                <w:color w:val="000000"/>
                <w:sz w:val="20"/>
                <w:szCs w:val="20"/>
              </w:rPr>
              <w:t>No.</w:t>
            </w:r>
          </w:p>
        </w:tc>
        <w:tc>
          <w:tcPr>
            <w:tcW w:w="5856" w:type="dxa"/>
            <w:shd w:val="clear" w:color="auto" w:fill="BFBFBF" w:themeFill="background1" w:themeFillShade="BF"/>
          </w:tcPr>
          <w:p w:rsidR="005D43E8" w:rsidRPr="005D43E8" w:rsidRDefault="005D43E8" w:rsidP="00526051">
            <w:pPr>
              <w:spacing w:after="160"/>
              <w:jc w:val="center"/>
              <w:rPr>
                <w:rFonts w:ascii="Arial" w:eastAsia="Times New Roman" w:hAnsi="Arial" w:cs="Arial"/>
                <w:b/>
                <w:color w:val="000000"/>
                <w:sz w:val="20"/>
                <w:szCs w:val="20"/>
              </w:rPr>
            </w:pPr>
            <w:r w:rsidRPr="005D43E8">
              <w:rPr>
                <w:rFonts w:ascii="Arial" w:eastAsia="Times New Roman" w:hAnsi="Arial" w:cs="Arial"/>
                <w:b/>
                <w:color w:val="000000"/>
                <w:sz w:val="20"/>
                <w:szCs w:val="20"/>
              </w:rPr>
              <w:t>Question</w:t>
            </w:r>
          </w:p>
          <w:p w:rsidR="005D43E8" w:rsidRPr="005D43E8" w:rsidRDefault="005D43E8" w:rsidP="00526051">
            <w:pPr>
              <w:spacing w:after="160"/>
              <w:jc w:val="center"/>
              <w:rPr>
                <w:rFonts w:ascii="Arial" w:eastAsia="Times New Roman" w:hAnsi="Arial" w:cs="Arial"/>
                <w:b/>
                <w:color w:val="000000"/>
                <w:sz w:val="20"/>
                <w:szCs w:val="20"/>
              </w:rPr>
            </w:pPr>
          </w:p>
        </w:tc>
        <w:tc>
          <w:tcPr>
            <w:tcW w:w="3594" w:type="dxa"/>
            <w:shd w:val="clear" w:color="auto" w:fill="BFBFBF" w:themeFill="background1" w:themeFillShade="BF"/>
          </w:tcPr>
          <w:p w:rsidR="005D43E8" w:rsidRPr="005D43E8" w:rsidRDefault="005D43E8" w:rsidP="00526051">
            <w:pPr>
              <w:jc w:val="center"/>
              <w:rPr>
                <w:rFonts w:ascii="Arial" w:eastAsia="Times New Roman" w:hAnsi="Arial" w:cs="Arial"/>
                <w:b/>
                <w:color w:val="000000"/>
                <w:sz w:val="20"/>
                <w:szCs w:val="20"/>
              </w:rPr>
            </w:pPr>
            <w:r w:rsidRPr="005D43E8">
              <w:rPr>
                <w:rFonts w:ascii="Arial" w:eastAsia="Times New Roman" w:hAnsi="Arial" w:cs="Arial"/>
                <w:b/>
                <w:color w:val="000000"/>
                <w:sz w:val="20"/>
                <w:szCs w:val="20"/>
              </w:rPr>
              <w:t>Answer</w:t>
            </w:r>
          </w:p>
          <w:p w:rsidR="005D43E8" w:rsidRPr="005D43E8" w:rsidRDefault="005D43E8" w:rsidP="00526051">
            <w:pPr>
              <w:spacing w:after="160"/>
              <w:jc w:val="center"/>
              <w:rPr>
                <w:rFonts w:ascii="Arial" w:eastAsia="Times New Roman" w:hAnsi="Arial" w:cs="Arial"/>
                <w:b/>
                <w:color w:val="000000"/>
                <w:sz w:val="20"/>
                <w:szCs w:val="20"/>
              </w:rPr>
            </w:pPr>
          </w:p>
        </w:tc>
      </w:tr>
      <w:tr w:rsidR="000D63B0" w:rsidRPr="0041740B" w:rsidTr="00526051">
        <w:trPr>
          <w:trHeight w:val="445"/>
        </w:trPr>
        <w:tc>
          <w:tcPr>
            <w:tcW w:w="558" w:type="dxa"/>
            <w:shd w:val="clear" w:color="auto" w:fill="FFFFFF" w:themeFill="background1"/>
          </w:tcPr>
          <w:p w:rsidR="000D63B0" w:rsidRPr="005D43E8" w:rsidRDefault="000D63B0" w:rsidP="00526051">
            <w:pPr>
              <w:spacing w:after="160"/>
              <w:jc w:val="center"/>
              <w:rPr>
                <w:rFonts w:ascii="Arial" w:eastAsia="Times New Roman" w:hAnsi="Arial" w:cs="Arial"/>
                <w:b/>
                <w:color w:val="000000"/>
                <w:sz w:val="20"/>
                <w:szCs w:val="20"/>
              </w:rPr>
            </w:pPr>
            <w:r>
              <w:rPr>
                <w:rFonts w:ascii="Arial" w:eastAsia="Times New Roman" w:hAnsi="Arial" w:cs="Arial"/>
                <w:b/>
                <w:color w:val="000000"/>
                <w:sz w:val="20"/>
                <w:szCs w:val="20"/>
              </w:rPr>
              <w:t>1.</w:t>
            </w:r>
          </w:p>
        </w:tc>
        <w:tc>
          <w:tcPr>
            <w:tcW w:w="5856" w:type="dxa"/>
            <w:shd w:val="clear" w:color="auto" w:fill="FFFFFF" w:themeFill="background1"/>
          </w:tcPr>
          <w:p w:rsidR="000D63B0" w:rsidRDefault="000D63B0" w:rsidP="00526051">
            <w:pPr>
              <w:pStyle w:val="ListParagraph"/>
              <w:shd w:val="clear" w:color="auto" w:fill="FFFFFF"/>
              <w:spacing w:after="160"/>
              <w:ind w:left="252"/>
              <w:jc w:val="both"/>
              <w:rPr>
                <w:rFonts w:ascii="Calibri" w:eastAsia="Times New Roman" w:hAnsi="Calibri" w:cs="Times New Roman"/>
                <w:color w:val="000000"/>
                <w:sz w:val="24"/>
                <w:szCs w:val="24"/>
              </w:rPr>
            </w:pPr>
            <w:r w:rsidRPr="00026FBA">
              <w:rPr>
                <w:rFonts w:ascii="Arial" w:eastAsia="Times New Roman" w:hAnsi="Arial" w:cs="Arial"/>
                <w:color w:val="000000"/>
                <w:sz w:val="20"/>
                <w:szCs w:val="20"/>
              </w:rPr>
              <w:t>In the technical specifications of tenders, under the number RORS TD 27- 06, within the part 2, for transport vehicles, engine power must be the minimum 100 kw.</w:t>
            </w:r>
            <w:r>
              <w:rPr>
                <w:rFonts w:ascii="Arial" w:eastAsia="Times New Roman" w:hAnsi="Arial" w:cs="Arial"/>
                <w:color w:val="000000"/>
                <w:sz w:val="20"/>
                <w:szCs w:val="20"/>
              </w:rPr>
              <w:t xml:space="preserve"> </w:t>
            </w:r>
            <w:r w:rsidRPr="00026FBA">
              <w:rPr>
                <w:rFonts w:ascii="Arial" w:eastAsia="Times New Roman" w:hAnsi="Arial" w:cs="Arial"/>
                <w:color w:val="000000"/>
                <w:sz w:val="20"/>
                <w:szCs w:val="20"/>
              </w:rPr>
              <w:t>Relating to fact of introducing new regulations and new test procedures for all passenger vehicles, which are applied in the European Union, the existing protocol for certification known as the NEDC has just replaced by new one.</w:t>
            </w:r>
          </w:p>
          <w:p w:rsidR="000D63B0" w:rsidRDefault="000D63B0" w:rsidP="00526051">
            <w:pPr>
              <w:pStyle w:val="ListParagraph"/>
              <w:shd w:val="clear" w:color="auto" w:fill="FFFFFF"/>
              <w:spacing w:after="160"/>
              <w:ind w:left="252"/>
              <w:jc w:val="both"/>
              <w:rPr>
                <w:rFonts w:ascii="Calibri" w:eastAsia="Times New Roman" w:hAnsi="Calibri" w:cs="Times New Roman"/>
                <w:color w:val="000000"/>
                <w:sz w:val="24"/>
                <w:szCs w:val="24"/>
              </w:rPr>
            </w:pPr>
            <w:r w:rsidRPr="00026FBA">
              <w:rPr>
                <w:rFonts w:ascii="Arial" w:eastAsia="Times New Roman" w:hAnsi="Arial" w:cs="Arial"/>
                <w:color w:val="000000"/>
                <w:sz w:val="20"/>
                <w:szCs w:val="20"/>
              </w:rPr>
              <w:t>WLTP /Worldwide harmonized Light vehicles Test Procedures/ is the new procedure (set of new regulations), which gradually replaces the NEDC since September 2017, applying the full capacity to all passenger vehicles starting the September 2018.</w:t>
            </w:r>
          </w:p>
          <w:p w:rsidR="000D63B0" w:rsidRDefault="000D63B0" w:rsidP="00526051">
            <w:pPr>
              <w:pStyle w:val="ListParagraph"/>
              <w:shd w:val="clear" w:color="auto" w:fill="FFFFFF"/>
              <w:spacing w:after="160"/>
              <w:ind w:left="252"/>
              <w:jc w:val="both"/>
              <w:rPr>
                <w:rFonts w:ascii="Calibri" w:eastAsia="Times New Roman" w:hAnsi="Calibri" w:cs="Times New Roman"/>
                <w:color w:val="000000"/>
                <w:sz w:val="24"/>
                <w:szCs w:val="24"/>
              </w:rPr>
            </w:pPr>
            <w:r w:rsidRPr="00246223">
              <w:rPr>
                <w:rFonts w:ascii="Arial" w:eastAsia="Times New Roman" w:hAnsi="Arial" w:cs="Arial"/>
                <w:color w:val="000000"/>
                <w:sz w:val="20"/>
                <w:szCs w:val="20"/>
              </w:rPr>
              <w:t xml:space="preserve">Within WLTP there is a complementary </w:t>
            </w:r>
            <w:proofErr w:type="spellStart"/>
            <w:r w:rsidRPr="00246223">
              <w:rPr>
                <w:rFonts w:ascii="Arial" w:eastAsia="Times New Roman" w:hAnsi="Arial" w:cs="Arial"/>
                <w:color w:val="000000"/>
                <w:sz w:val="20"/>
                <w:szCs w:val="20"/>
              </w:rPr>
              <w:t>protocor</w:t>
            </w:r>
            <w:proofErr w:type="spellEnd"/>
            <w:r w:rsidRPr="00246223">
              <w:rPr>
                <w:rFonts w:ascii="Arial" w:eastAsia="Times New Roman" w:hAnsi="Arial" w:cs="Arial"/>
                <w:color w:val="000000"/>
                <w:sz w:val="20"/>
                <w:szCs w:val="20"/>
              </w:rPr>
              <w:t> RDE /Real Driving Emissions/ (re-examination for certification that takes into account all the parameters in real car use) which is a new protocol for measuring the emission of poll</w:t>
            </w:r>
            <w:r>
              <w:rPr>
                <w:rFonts w:ascii="Arial" w:eastAsia="Times New Roman" w:hAnsi="Arial" w:cs="Arial"/>
                <w:color w:val="000000"/>
                <w:sz w:val="20"/>
                <w:szCs w:val="20"/>
              </w:rPr>
              <w:t>uting materials in real car use</w:t>
            </w:r>
            <w:r w:rsidRPr="00246223">
              <w:rPr>
                <w:rFonts w:ascii="Arial" w:eastAsia="Times New Roman" w:hAnsi="Arial" w:cs="Arial"/>
                <w:color w:val="000000"/>
                <w:sz w:val="20"/>
                <w:szCs w:val="20"/>
              </w:rPr>
              <w:t>. Therefore it comes to the progressive evolution of the emission standards of Euro6B to Euro6D.</w:t>
            </w:r>
          </w:p>
          <w:p w:rsidR="000D63B0" w:rsidRDefault="000D63B0" w:rsidP="00526051">
            <w:pPr>
              <w:pStyle w:val="ListParagraph"/>
              <w:shd w:val="clear" w:color="auto" w:fill="FFFFFF"/>
              <w:spacing w:after="160"/>
              <w:ind w:left="252"/>
              <w:jc w:val="both"/>
              <w:rPr>
                <w:rFonts w:ascii="Calibri" w:eastAsia="Times New Roman" w:hAnsi="Calibri" w:cs="Times New Roman"/>
                <w:color w:val="000000"/>
                <w:sz w:val="24"/>
                <w:szCs w:val="24"/>
              </w:rPr>
            </w:pPr>
            <w:r w:rsidRPr="00246223">
              <w:rPr>
                <w:rFonts w:ascii="Arial" w:eastAsia="Times New Roman" w:hAnsi="Arial" w:cs="Arial"/>
                <w:color w:val="000000"/>
                <w:sz w:val="20"/>
                <w:szCs w:val="20"/>
              </w:rPr>
              <w:t xml:space="preserve">In accordance with changes in the process of testing and certification, </w:t>
            </w:r>
            <w:r>
              <w:rPr>
                <w:rFonts w:ascii="Arial" w:eastAsia="Times New Roman" w:hAnsi="Arial" w:cs="Arial"/>
                <w:color w:val="000000"/>
                <w:sz w:val="20"/>
                <w:szCs w:val="20"/>
              </w:rPr>
              <w:t>our company</w:t>
            </w:r>
            <w:r w:rsidRPr="00246223">
              <w:rPr>
                <w:rFonts w:ascii="Arial" w:eastAsia="Times New Roman" w:hAnsi="Arial" w:cs="Arial"/>
                <w:color w:val="000000"/>
                <w:sz w:val="20"/>
                <w:szCs w:val="20"/>
              </w:rPr>
              <w:t> made changes of existing aggregates in order to adapt to new standards Euro6C I Euro6D, and consequently changes the minimum force, that in the case of the vehicle that meets all other tender requirements, is 88</w:t>
            </w:r>
            <w:r w:rsidRPr="00246223">
              <w:rPr>
                <w:rFonts w:ascii="Arial" w:eastAsia="Times New Roman" w:hAnsi="Arial" w:cs="Arial"/>
                <w:color w:val="000000"/>
                <w:sz w:val="20"/>
                <w:szCs w:val="20"/>
                <w:shd w:val="clear" w:color="auto" w:fill="FFFFFF"/>
              </w:rPr>
              <w:t> </w:t>
            </w:r>
            <w:r w:rsidRPr="00246223">
              <w:rPr>
                <w:rFonts w:ascii="Arial" w:eastAsia="Times New Roman" w:hAnsi="Arial" w:cs="Arial"/>
                <w:color w:val="000000"/>
                <w:sz w:val="20"/>
                <w:szCs w:val="20"/>
              </w:rPr>
              <w:t>kw. </w:t>
            </w:r>
          </w:p>
          <w:p w:rsidR="000D63B0" w:rsidRDefault="000D63B0" w:rsidP="00526051">
            <w:pPr>
              <w:pStyle w:val="ListParagraph"/>
              <w:shd w:val="clear" w:color="auto" w:fill="FFFFFF"/>
              <w:spacing w:after="160"/>
              <w:ind w:left="252"/>
              <w:jc w:val="both"/>
              <w:rPr>
                <w:rFonts w:ascii="Calibri" w:eastAsia="Times New Roman" w:hAnsi="Calibri" w:cs="Times New Roman"/>
                <w:color w:val="000000"/>
                <w:sz w:val="24"/>
                <w:szCs w:val="24"/>
              </w:rPr>
            </w:pPr>
            <w:r w:rsidRPr="00246223">
              <w:rPr>
                <w:rFonts w:ascii="Arial" w:eastAsia="Times New Roman" w:hAnsi="Arial" w:cs="Arial"/>
                <w:color w:val="000000"/>
                <w:sz w:val="20"/>
                <w:szCs w:val="20"/>
              </w:rPr>
              <w:t>These</w:t>
            </w:r>
            <w:r>
              <w:rPr>
                <w:rFonts w:ascii="Arial" w:eastAsia="Times New Roman" w:hAnsi="Arial" w:cs="Arial"/>
                <w:color w:val="000000"/>
                <w:sz w:val="20"/>
                <w:szCs w:val="20"/>
              </w:rPr>
              <w:t xml:space="preserve"> </w:t>
            </w:r>
            <w:r w:rsidRPr="00246223">
              <w:rPr>
                <w:rFonts w:ascii="Arial" w:eastAsia="Times New Roman" w:hAnsi="Arial" w:cs="Arial"/>
                <w:color w:val="000000"/>
                <w:sz w:val="20"/>
                <w:szCs w:val="20"/>
              </w:rPr>
              <w:t>changes provide better fuel economy, reduce emissions and bring the level prescribed in the new conditions.</w:t>
            </w:r>
            <w:r>
              <w:rPr>
                <w:rFonts w:ascii="Arial" w:eastAsia="Times New Roman" w:hAnsi="Arial" w:cs="Arial"/>
                <w:color w:val="000000"/>
                <w:sz w:val="20"/>
                <w:szCs w:val="20"/>
              </w:rPr>
              <w:t xml:space="preserve"> </w:t>
            </w:r>
            <w:r w:rsidRPr="00246223">
              <w:rPr>
                <w:rFonts w:ascii="Arial" w:eastAsia="Times New Roman" w:hAnsi="Arial" w:cs="Arial"/>
                <w:color w:val="000000"/>
                <w:sz w:val="20"/>
                <w:szCs w:val="20"/>
              </w:rPr>
              <w:t xml:space="preserve">WLTP and RDE raise the standard of the industry and all of </w:t>
            </w:r>
            <w:r>
              <w:rPr>
                <w:rFonts w:ascii="Arial" w:eastAsia="Times New Roman" w:hAnsi="Arial" w:cs="Arial"/>
                <w:color w:val="000000"/>
                <w:sz w:val="20"/>
                <w:szCs w:val="20"/>
              </w:rPr>
              <w:t>our</w:t>
            </w:r>
            <w:r w:rsidRPr="00246223">
              <w:rPr>
                <w:rFonts w:ascii="Arial" w:eastAsia="Times New Roman" w:hAnsi="Arial" w:cs="Arial"/>
                <w:color w:val="000000"/>
                <w:sz w:val="20"/>
                <w:szCs w:val="20"/>
              </w:rPr>
              <w:t> vehicles are</w:t>
            </w:r>
            <w:r w:rsidRPr="00246223">
              <w:rPr>
                <w:rFonts w:ascii="Arial" w:eastAsia="Times New Roman" w:hAnsi="Arial" w:cs="Arial"/>
                <w:color w:val="000000"/>
                <w:sz w:val="20"/>
                <w:szCs w:val="20"/>
                <w:shd w:val="clear" w:color="auto" w:fill="FFFFFF"/>
              </w:rPr>
              <w:t> </w:t>
            </w:r>
            <w:r w:rsidRPr="00246223">
              <w:rPr>
                <w:rFonts w:ascii="Arial" w:eastAsia="Times New Roman" w:hAnsi="Arial" w:cs="Arial"/>
                <w:color w:val="000000"/>
                <w:sz w:val="20"/>
                <w:szCs w:val="20"/>
              </w:rPr>
              <w:t>compliant with the new regulations.</w:t>
            </w:r>
            <w:r>
              <w:rPr>
                <w:rFonts w:ascii="Calibri" w:eastAsia="Times New Roman" w:hAnsi="Calibri" w:cs="Times New Roman"/>
                <w:color w:val="000000"/>
                <w:sz w:val="24"/>
                <w:szCs w:val="24"/>
              </w:rPr>
              <w:t xml:space="preserve"> </w:t>
            </w:r>
          </w:p>
          <w:p w:rsidR="000D63B0" w:rsidRPr="00246223" w:rsidRDefault="000D63B0" w:rsidP="00526051">
            <w:pPr>
              <w:pStyle w:val="ListParagraph"/>
              <w:shd w:val="clear" w:color="auto" w:fill="FFFFFF"/>
              <w:spacing w:after="160"/>
              <w:ind w:left="252"/>
              <w:jc w:val="both"/>
              <w:rPr>
                <w:rFonts w:ascii="Calibri" w:eastAsia="Times New Roman" w:hAnsi="Calibri" w:cs="Times New Roman"/>
                <w:color w:val="000000"/>
                <w:sz w:val="24"/>
                <w:szCs w:val="24"/>
              </w:rPr>
            </w:pPr>
            <w:r w:rsidRPr="00246223">
              <w:rPr>
                <w:rFonts w:ascii="Arial" w:eastAsia="Times New Roman" w:hAnsi="Arial" w:cs="Arial"/>
                <w:color w:val="000000"/>
                <w:sz w:val="20"/>
                <w:szCs w:val="20"/>
              </w:rPr>
              <w:t>Taking into account above mentioned facts, that the production</w:t>
            </w:r>
            <w:r>
              <w:rPr>
                <w:rFonts w:ascii="Arial" w:eastAsia="Times New Roman" w:hAnsi="Arial" w:cs="Arial"/>
                <w:color w:val="000000"/>
                <w:sz w:val="20"/>
                <w:szCs w:val="20"/>
              </w:rPr>
              <w:t xml:space="preserve"> </w:t>
            </w:r>
            <w:r w:rsidRPr="00246223">
              <w:rPr>
                <w:rFonts w:ascii="Arial" w:eastAsia="Times New Roman" w:hAnsi="Arial" w:cs="Arial"/>
                <w:color w:val="000000"/>
                <w:sz w:val="20"/>
                <w:szCs w:val="20"/>
              </w:rPr>
              <w:t>of the new generation engines which meet new stricter standards have just started, in order to increase protection of ecological environment, please let us your opinion whether the vehicle, that in all other points meets the technical requirements, but has incorporated the latest engine capacity of 88 kw, will be accepted?</w:t>
            </w:r>
          </w:p>
          <w:p w:rsidR="000D63B0" w:rsidRPr="000D63B0" w:rsidRDefault="000D63B0" w:rsidP="00526051">
            <w:pPr>
              <w:shd w:val="clear" w:color="auto" w:fill="FFFFFF"/>
              <w:jc w:val="both"/>
              <w:rPr>
                <w:rFonts w:ascii="Times New Roman" w:eastAsia="Times New Roman" w:hAnsi="Times New Roman" w:cs="Times New Roman"/>
                <w:color w:val="000000"/>
                <w:sz w:val="24"/>
                <w:szCs w:val="24"/>
              </w:rPr>
            </w:pPr>
            <w:r w:rsidRPr="00246223">
              <w:rPr>
                <w:rFonts w:ascii="Arial" w:eastAsia="Times New Roman" w:hAnsi="Arial" w:cs="Arial"/>
                <w:color w:val="000000"/>
                <w:sz w:val="20"/>
                <w:szCs w:val="20"/>
              </w:rPr>
              <w:t> </w:t>
            </w:r>
          </w:p>
        </w:tc>
        <w:tc>
          <w:tcPr>
            <w:tcW w:w="3594" w:type="dxa"/>
            <w:shd w:val="clear" w:color="auto" w:fill="FFFFFF" w:themeFill="background1"/>
          </w:tcPr>
          <w:p w:rsidR="000D63B0" w:rsidRPr="0041740B" w:rsidRDefault="000D63B0" w:rsidP="00526051">
            <w:pPr>
              <w:pStyle w:val="ListParagraph"/>
              <w:ind w:left="246"/>
              <w:jc w:val="both"/>
              <w:rPr>
                <w:rFonts w:ascii="Arial" w:eastAsia="Times New Roman" w:hAnsi="Arial" w:cs="Arial"/>
                <w:color w:val="000000"/>
                <w:sz w:val="20"/>
                <w:szCs w:val="20"/>
              </w:rPr>
            </w:pPr>
            <w:r w:rsidRPr="000D7D96">
              <w:rPr>
                <w:rFonts w:ascii="Arial" w:eastAsia="Times New Roman" w:hAnsi="Arial" w:cs="Arial"/>
                <w:color w:val="000000"/>
                <w:sz w:val="20"/>
                <w:szCs w:val="20"/>
              </w:rPr>
              <w:t xml:space="preserve">At the time of the preparation of the technical specification for the tender "Purchase of vehicles" within the project RORS27, the Contracting Authority was not informed about the new regulations and new test procedures for passenger vehicles (WLTP), applied in the European Union since September 2018, </w:t>
            </w:r>
            <w:r w:rsidR="00EF263F">
              <w:rPr>
                <w:rFonts w:ascii="Arial" w:eastAsia="Times New Roman" w:hAnsi="Arial" w:cs="Arial"/>
                <w:color w:val="000000"/>
                <w:sz w:val="20"/>
                <w:szCs w:val="20"/>
              </w:rPr>
              <w:t>concerning</w:t>
            </w:r>
            <w:r w:rsidRPr="000D7D96">
              <w:rPr>
                <w:rFonts w:ascii="Arial" w:eastAsia="Times New Roman" w:hAnsi="Arial" w:cs="Arial"/>
                <w:color w:val="000000"/>
                <w:sz w:val="20"/>
                <w:szCs w:val="20"/>
              </w:rPr>
              <w:t xml:space="preserve"> reduction of emission of harmful gases and environmental protection.</w:t>
            </w:r>
          </w:p>
          <w:p w:rsidR="000D63B0" w:rsidRPr="0041740B" w:rsidRDefault="000D63B0" w:rsidP="00526051">
            <w:pPr>
              <w:pStyle w:val="ListParagraph"/>
              <w:ind w:left="246"/>
              <w:jc w:val="both"/>
              <w:rPr>
                <w:rFonts w:ascii="Arial" w:eastAsia="Times New Roman" w:hAnsi="Arial" w:cs="Arial"/>
                <w:color w:val="000000"/>
                <w:sz w:val="20"/>
                <w:szCs w:val="20"/>
              </w:rPr>
            </w:pPr>
            <w:r w:rsidRPr="000D7D96">
              <w:rPr>
                <w:rFonts w:ascii="Arial" w:eastAsia="Times New Roman" w:hAnsi="Arial" w:cs="Arial"/>
                <w:color w:val="000000"/>
                <w:sz w:val="20"/>
                <w:szCs w:val="20"/>
              </w:rPr>
              <w:t>Accordingly, taking into account that the proposed changes do not affect other technical characteristics of the vehicle, the Contracting Authority accepts that required minimum engine power for Field transport vans is 88 kW.</w:t>
            </w:r>
          </w:p>
          <w:p w:rsidR="000D63B0" w:rsidRPr="0041740B" w:rsidRDefault="000D63B0" w:rsidP="00526051">
            <w:pPr>
              <w:pStyle w:val="ListParagraph"/>
              <w:ind w:left="246"/>
              <w:jc w:val="both"/>
              <w:rPr>
                <w:rFonts w:ascii="Arial" w:eastAsia="Times New Roman" w:hAnsi="Arial" w:cs="Arial"/>
                <w:color w:val="000000"/>
                <w:sz w:val="20"/>
                <w:szCs w:val="20"/>
              </w:rPr>
            </w:pPr>
          </w:p>
          <w:p w:rsidR="000D63B0" w:rsidRPr="0041740B" w:rsidRDefault="000D63B0" w:rsidP="00526051">
            <w:pPr>
              <w:pStyle w:val="ListParagraph"/>
              <w:ind w:left="246"/>
              <w:jc w:val="both"/>
              <w:rPr>
                <w:rFonts w:ascii="Arial" w:eastAsia="Times New Roman" w:hAnsi="Arial" w:cs="Arial"/>
                <w:color w:val="000000"/>
                <w:sz w:val="20"/>
                <w:szCs w:val="20"/>
              </w:rPr>
            </w:pPr>
            <w:r w:rsidRPr="000D7D96">
              <w:rPr>
                <w:rFonts w:ascii="Arial" w:eastAsia="Times New Roman" w:hAnsi="Arial" w:cs="Arial"/>
                <w:color w:val="000000"/>
                <w:sz w:val="20"/>
                <w:szCs w:val="20"/>
              </w:rPr>
              <w:t xml:space="preserve">Requirement of the technical specification related to Field transport vans, number </w:t>
            </w:r>
            <w:proofErr w:type="gramStart"/>
            <w:r w:rsidRPr="000D7D96">
              <w:rPr>
                <w:rFonts w:ascii="Arial" w:eastAsia="Times New Roman" w:hAnsi="Arial" w:cs="Arial"/>
                <w:color w:val="000000"/>
                <w:sz w:val="20"/>
                <w:szCs w:val="20"/>
              </w:rPr>
              <w:t>2.1  -</w:t>
            </w:r>
            <w:proofErr w:type="gramEnd"/>
            <w:r w:rsidRPr="000D7D96">
              <w:rPr>
                <w:rFonts w:ascii="Arial" w:eastAsia="Times New Roman" w:hAnsi="Arial" w:cs="Arial"/>
                <w:color w:val="000000"/>
                <w:sz w:val="20"/>
                <w:szCs w:val="20"/>
              </w:rPr>
              <w:t xml:space="preserve"> Minimum power 100 kW will be replaced by the new requirement - Minimum power</w:t>
            </w:r>
            <w:r w:rsidRPr="0041740B">
              <w:rPr>
                <w:rFonts w:ascii="Arial" w:eastAsia="Times New Roman" w:hAnsi="Arial" w:cs="Arial"/>
                <w:color w:val="000000"/>
                <w:sz w:val="20"/>
                <w:szCs w:val="20"/>
              </w:rPr>
              <w:t xml:space="preserve"> 88 kW.</w:t>
            </w:r>
          </w:p>
          <w:p w:rsidR="0041740B" w:rsidRPr="0041740B" w:rsidRDefault="0041740B" w:rsidP="00C11936">
            <w:pPr>
              <w:jc w:val="center"/>
              <w:rPr>
                <w:rFonts w:ascii="Arial" w:eastAsia="Times New Roman" w:hAnsi="Arial" w:cs="Arial"/>
                <w:color w:val="000000"/>
                <w:sz w:val="20"/>
                <w:szCs w:val="20"/>
              </w:rPr>
            </w:pPr>
          </w:p>
          <w:p w:rsidR="000D63B0" w:rsidRPr="0041740B" w:rsidRDefault="0041740B" w:rsidP="0041740B">
            <w:pPr>
              <w:rPr>
                <w:rFonts w:ascii="Arial" w:eastAsia="Times New Roman" w:hAnsi="Arial" w:cs="Arial"/>
                <w:color w:val="000000"/>
                <w:sz w:val="20"/>
                <w:szCs w:val="20"/>
              </w:rPr>
            </w:pPr>
            <w:r w:rsidRPr="0041740B">
              <w:rPr>
                <w:rFonts w:ascii="Arial" w:eastAsia="Times New Roman" w:hAnsi="Arial" w:cs="Arial"/>
                <w:color w:val="000000"/>
                <w:sz w:val="20"/>
                <w:szCs w:val="20"/>
              </w:rPr>
              <w:t xml:space="preserve">Corrigendum No.1 to the TECHNICAL SPECIFICATIONS was published on the Romania-Serbia CBC </w:t>
            </w:r>
            <w:proofErr w:type="spellStart"/>
            <w:r w:rsidRPr="0041740B">
              <w:rPr>
                <w:rFonts w:ascii="Arial" w:eastAsia="Times New Roman" w:hAnsi="Arial" w:cs="Arial"/>
                <w:color w:val="000000"/>
                <w:sz w:val="20"/>
                <w:szCs w:val="20"/>
              </w:rPr>
              <w:t>Programme</w:t>
            </w:r>
            <w:proofErr w:type="spellEnd"/>
            <w:r w:rsidRPr="0041740B">
              <w:rPr>
                <w:rFonts w:ascii="Arial" w:eastAsia="Times New Roman" w:hAnsi="Arial" w:cs="Arial"/>
                <w:color w:val="000000"/>
                <w:sz w:val="20"/>
                <w:szCs w:val="20"/>
              </w:rPr>
              <w:t xml:space="preserve"> website at http://www.romania-serbia.net/?page_id=2540 and Contacting Authority website at http:// www.mup.gov.rs/wps/po</w:t>
            </w:r>
            <w:bookmarkStart w:id="0" w:name="_GoBack"/>
            <w:bookmarkEnd w:id="0"/>
            <w:r w:rsidRPr="0041740B">
              <w:rPr>
                <w:rFonts w:ascii="Arial" w:eastAsia="Times New Roman" w:hAnsi="Arial" w:cs="Arial"/>
                <w:color w:val="000000"/>
                <w:sz w:val="20"/>
                <w:szCs w:val="20"/>
              </w:rPr>
              <w:t>rtal/sr/finansije/nabavke</w:t>
            </w:r>
          </w:p>
        </w:tc>
      </w:tr>
    </w:tbl>
    <w:tbl>
      <w:tblPr>
        <w:tblpPr w:leftFromText="180" w:rightFromText="180" w:vertAnchor="page" w:horzAnchor="margin" w:tblpXSpec="center" w:tblpY="1081"/>
        <w:tblW w:w="4679" w:type="dxa"/>
        <w:tblLook w:val="01E0" w:firstRow="1" w:lastRow="1" w:firstColumn="1" w:lastColumn="1" w:noHBand="0" w:noVBand="0"/>
      </w:tblPr>
      <w:tblGrid>
        <w:gridCol w:w="4679"/>
      </w:tblGrid>
      <w:tr w:rsidR="00526051" w:rsidRPr="003048D4" w:rsidTr="00036A33">
        <w:trPr>
          <w:trHeight w:val="57"/>
        </w:trPr>
        <w:tc>
          <w:tcPr>
            <w:tcW w:w="4679" w:type="dxa"/>
            <w:shd w:val="clear" w:color="auto" w:fill="auto"/>
          </w:tcPr>
          <w:p w:rsidR="00526051" w:rsidRPr="003048D4" w:rsidRDefault="00526051" w:rsidP="00036A33">
            <w:pPr>
              <w:spacing w:after="0" w:line="57" w:lineRule="atLeast"/>
              <w:jc w:val="center"/>
              <w:rPr>
                <w:b/>
              </w:rPr>
            </w:pPr>
            <w:r w:rsidRPr="003048D4">
              <w:rPr>
                <w:b/>
              </w:rPr>
              <w:t xml:space="preserve">                                                                                                               </w:t>
            </w:r>
            <w:r>
              <w:rPr>
                <w:b/>
                <w:noProof/>
              </w:rPr>
              <w:drawing>
                <wp:inline distT="0" distB="0" distL="0" distR="0">
                  <wp:extent cx="318135" cy="516890"/>
                  <wp:effectExtent l="0" t="0" r="5715"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 cy="516890"/>
                          </a:xfrm>
                          <a:prstGeom prst="rect">
                            <a:avLst/>
                          </a:prstGeom>
                          <a:noFill/>
                          <a:ln>
                            <a:noFill/>
                          </a:ln>
                        </pic:spPr>
                      </pic:pic>
                    </a:graphicData>
                  </a:graphic>
                </wp:inline>
              </w:drawing>
            </w:r>
          </w:p>
        </w:tc>
      </w:tr>
      <w:tr w:rsidR="00526051" w:rsidRPr="003048D4" w:rsidTr="00036A33">
        <w:trPr>
          <w:trHeight w:val="56"/>
        </w:trPr>
        <w:tc>
          <w:tcPr>
            <w:tcW w:w="4679" w:type="dxa"/>
            <w:shd w:val="clear" w:color="auto" w:fill="auto"/>
          </w:tcPr>
          <w:p w:rsidR="00526051" w:rsidRPr="003048D4" w:rsidRDefault="00526051" w:rsidP="00036A33">
            <w:pPr>
              <w:spacing w:after="0" w:line="56" w:lineRule="atLeast"/>
              <w:jc w:val="center"/>
              <w:rPr>
                <w:b/>
              </w:rPr>
            </w:pPr>
            <w:r w:rsidRPr="003048D4">
              <w:rPr>
                <w:b/>
              </w:rPr>
              <w:t>REPUBLIC OF SERBIA</w:t>
            </w:r>
          </w:p>
          <w:p w:rsidR="00526051" w:rsidRPr="003048D4" w:rsidRDefault="00526051" w:rsidP="00036A33">
            <w:pPr>
              <w:spacing w:after="0" w:line="56" w:lineRule="atLeast"/>
              <w:jc w:val="center"/>
              <w:rPr>
                <w:b/>
              </w:rPr>
            </w:pPr>
            <w:r w:rsidRPr="003048D4">
              <w:rPr>
                <w:b/>
              </w:rPr>
              <w:t>MINISTRY OF INTERIOR</w:t>
            </w:r>
          </w:p>
        </w:tc>
      </w:tr>
      <w:tr w:rsidR="00526051" w:rsidRPr="003048D4" w:rsidTr="00036A33">
        <w:trPr>
          <w:trHeight w:val="56"/>
        </w:trPr>
        <w:tc>
          <w:tcPr>
            <w:tcW w:w="4679" w:type="dxa"/>
            <w:shd w:val="clear" w:color="auto" w:fill="auto"/>
          </w:tcPr>
          <w:p w:rsidR="00526051" w:rsidRPr="003048D4" w:rsidRDefault="00526051" w:rsidP="00036A33">
            <w:pPr>
              <w:spacing w:beforeAutospacing="1" w:after="0" w:line="56" w:lineRule="atLeast"/>
              <w:jc w:val="center"/>
              <w:outlineLvl w:val="1"/>
              <w:rPr>
                <w:bCs/>
                <w:iCs/>
              </w:rPr>
            </w:pPr>
            <w:r w:rsidRPr="003048D4">
              <w:rPr>
                <w:bCs/>
                <w:iCs/>
              </w:rPr>
              <w:t>Sector for Emergency Management</w:t>
            </w:r>
          </w:p>
        </w:tc>
      </w:tr>
    </w:tbl>
    <w:p w:rsidR="00526051" w:rsidRPr="00BD63A1" w:rsidRDefault="00526051" w:rsidP="00526051">
      <w:pPr>
        <w:spacing w:after="0"/>
        <w:rPr>
          <w:lang w:val="sr-Cyrl-RS"/>
        </w:rPr>
      </w:pPr>
    </w:p>
    <w:p w:rsidR="00526051" w:rsidRDefault="00526051" w:rsidP="000D63B0">
      <w:pPr>
        <w:spacing w:after="160" w:line="240" w:lineRule="auto"/>
        <w:rPr>
          <w:rFonts w:ascii="Arial" w:eastAsia="Times New Roman" w:hAnsi="Arial" w:cs="Arial"/>
          <w:b/>
          <w:color w:val="000000"/>
          <w:sz w:val="20"/>
          <w:szCs w:val="20"/>
          <w:u w:val="single"/>
        </w:rPr>
      </w:pPr>
    </w:p>
    <w:p w:rsidR="005D43E8" w:rsidRPr="00526051" w:rsidRDefault="005D43E8" w:rsidP="00526051">
      <w:pPr>
        <w:tabs>
          <w:tab w:val="left" w:pos="3465"/>
        </w:tabs>
        <w:rPr>
          <w:rFonts w:ascii="Arial" w:eastAsia="Times New Roman" w:hAnsi="Arial" w:cs="Arial"/>
          <w:sz w:val="20"/>
          <w:szCs w:val="20"/>
        </w:rPr>
      </w:pPr>
    </w:p>
    <w:sectPr w:rsidR="005D43E8" w:rsidRPr="0052605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2E3" w:rsidRDefault="00AA42E3" w:rsidP="00526051">
      <w:pPr>
        <w:spacing w:after="0" w:line="240" w:lineRule="auto"/>
      </w:pPr>
      <w:r>
        <w:separator/>
      </w:r>
    </w:p>
  </w:endnote>
  <w:endnote w:type="continuationSeparator" w:id="0">
    <w:p w:rsidR="00AA42E3" w:rsidRDefault="00AA42E3" w:rsidP="0052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Ciril">
    <w:altName w:val="Times New Roman"/>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2E3" w:rsidRDefault="00AA42E3" w:rsidP="00526051">
      <w:pPr>
        <w:spacing w:after="0" w:line="240" w:lineRule="auto"/>
      </w:pPr>
      <w:r>
        <w:separator/>
      </w:r>
    </w:p>
  </w:footnote>
  <w:footnote w:type="continuationSeparator" w:id="0">
    <w:p w:rsidR="00AA42E3" w:rsidRDefault="00AA42E3" w:rsidP="00526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550A0"/>
    <w:multiLevelType w:val="hybridMultilevel"/>
    <w:tmpl w:val="E1FAEFC6"/>
    <w:lvl w:ilvl="0" w:tplc="88140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AB5041"/>
    <w:multiLevelType w:val="hybridMultilevel"/>
    <w:tmpl w:val="F4E6C884"/>
    <w:lvl w:ilvl="0" w:tplc="55AAAC98">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434633"/>
    <w:multiLevelType w:val="hybridMultilevel"/>
    <w:tmpl w:val="FF32D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DA"/>
    <w:rsid w:val="00026FBA"/>
    <w:rsid w:val="000C08EB"/>
    <w:rsid w:val="000D63B0"/>
    <w:rsid w:val="000D7D96"/>
    <w:rsid w:val="001B2DFF"/>
    <w:rsid w:val="00231674"/>
    <w:rsid w:val="00246223"/>
    <w:rsid w:val="003D288B"/>
    <w:rsid w:val="0041740B"/>
    <w:rsid w:val="00526051"/>
    <w:rsid w:val="005D43E8"/>
    <w:rsid w:val="006E2F48"/>
    <w:rsid w:val="009B5394"/>
    <w:rsid w:val="00A52711"/>
    <w:rsid w:val="00AA42E3"/>
    <w:rsid w:val="00AD5CB8"/>
    <w:rsid w:val="00BA02DA"/>
    <w:rsid w:val="00C11936"/>
    <w:rsid w:val="00C55A52"/>
    <w:rsid w:val="00E47BBB"/>
    <w:rsid w:val="00EF263F"/>
    <w:rsid w:val="00F60016"/>
    <w:rsid w:val="00FB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6051"/>
    <w:pPr>
      <w:keepNext/>
      <w:spacing w:after="0" w:line="240" w:lineRule="auto"/>
      <w:jc w:val="center"/>
      <w:outlineLvl w:val="0"/>
    </w:pPr>
    <w:rPr>
      <w:rFonts w:ascii="HelvCiril" w:eastAsia="Times New Roman" w:hAnsi="HelvCiri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FBA"/>
    <w:pPr>
      <w:ind w:left="720"/>
      <w:contextualSpacing/>
    </w:pPr>
  </w:style>
  <w:style w:type="table" w:styleId="TableGrid">
    <w:name w:val="Table Grid"/>
    <w:basedOn w:val="TableNormal"/>
    <w:uiPriority w:val="59"/>
    <w:rsid w:val="005D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0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26051"/>
  </w:style>
  <w:style w:type="paragraph" w:styleId="Footer">
    <w:name w:val="footer"/>
    <w:basedOn w:val="Normal"/>
    <w:link w:val="FooterChar"/>
    <w:uiPriority w:val="99"/>
    <w:unhideWhenUsed/>
    <w:rsid w:val="005260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26051"/>
  </w:style>
  <w:style w:type="character" w:customStyle="1" w:styleId="Heading1Char">
    <w:name w:val="Heading 1 Char"/>
    <w:basedOn w:val="DefaultParagraphFont"/>
    <w:link w:val="Heading1"/>
    <w:rsid w:val="00526051"/>
    <w:rPr>
      <w:rFonts w:ascii="HelvCiril" w:eastAsia="Times New Roman" w:hAnsi="HelvCiril" w:cs="Times New Roman"/>
      <w:sz w:val="24"/>
      <w:szCs w:val="20"/>
    </w:rPr>
  </w:style>
  <w:style w:type="paragraph" w:styleId="BalloonText">
    <w:name w:val="Balloon Text"/>
    <w:basedOn w:val="Normal"/>
    <w:link w:val="BalloonTextChar"/>
    <w:uiPriority w:val="99"/>
    <w:semiHidden/>
    <w:unhideWhenUsed/>
    <w:rsid w:val="00526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6051"/>
    <w:pPr>
      <w:keepNext/>
      <w:spacing w:after="0" w:line="240" w:lineRule="auto"/>
      <w:jc w:val="center"/>
      <w:outlineLvl w:val="0"/>
    </w:pPr>
    <w:rPr>
      <w:rFonts w:ascii="HelvCiril" w:eastAsia="Times New Roman" w:hAnsi="HelvCiri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FBA"/>
    <w:pPr>
      <w:ind w:left="720"/>
      <w:contextualSpacing/>
    </w:pPr>
  </w:style>
  <w:style w:type="table" w:styleId="TableGrid">
    <w:name w:val="Table Grid"/>
    <w:basedOn w:val="TableNormal"/>
    <w:uiPriority w:val="59"/>
    <w:rsid w:val="005D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0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26051"/>
  </w:style>
  <w:style w:type="paragraph" w:styleId="Footer">
    <w:name w:val="footer"/>
    <w:basedOn w:val="Normal"/>
    <w:link w:val="FooterChar"/>
    <w:uiPriority w:val="99"/>
    <w:unhideWhenUsed/>
    <w:rsid w:val="005260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26051"/>
  </w:style>
  <w:style w:type="character" w:customStyle="1" w:styleId="Heading1Char">
    <w:name w:val="Heading 1 Char"/>
    <w:basedOn w:val="DefaultParagraphFont"/>
    <w:link w:val="Heading1"/>
    <w:rsid w:val="00526051"/>
    <w:rPr>
      <w:rFonts w:ascii="HelvCiril" w:eastAsia="Times New Roman" w:hAnsi="HelvCiril" w:cs="Times New Roman"/>
      <w:sz w:val="24"/>
      <w:szCs w:val="20"/>
    </w:rPr>
  </w:style>
  <w:style w:type="paragraph" w:styleId="BalloonText">
    <w:name w:val="Balloon Text"/>
    <w:basedOn w:val="Normal"/>
    <w:link w:val="BalloonTextChar"/>
    <w:uiPriority w:val="99"/>
    <w:semiHidden/>
    <w:unhideWhenUsed/>
    <w:rsid w:val="00526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6515">
      <w:bodyDiv w:val="1"/>
      <w:marLeft w:val="0"/>
      <w:marRight w:val="0"/>
      <w:marTop w:val="0"/>
      <w:marBottom w:val="0"/>
      <w:divBdr>
        <w:top w:val="none" w:sz="0" w:space="0" w:color="auto"/>
        <w:left w:val="none" w:sz="0" w:space="0" w:color="auto"/>
        <w:bottom w:val="none" w:sz="0" w:space="0" w:color="auto"/>
        <w:right w:val="none" w:sz="0" w:space="0" w:color="auto"/>
      </w:divBdr>
      <w:divsChild>
        <w:div w:id="35280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AM</cp:lastModifiedBy>
  <cp:revision>12</cp:revision>
  <dcterms:created xsi:type="dcterms:W3CDTF">2018-10-04T22:52:00Z</dcterms:created>
  <dcterms:modified xsi:type="dcterms:W3CDTF">2018-10-15T21:15:00Z</dcterms:modified>
</cp:coreProperties>
</file>